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427362">
      <w:pPr>
        <w:jc w:val="both"/>
        <w:rPr>
          <w:rFonts w:ascii="Century Gothic" w:hAnsi="Century Gothic"/>
          <w:sz w:val="24"/>
          <w:szCs w:val="22"/>
        </w:rPr>
      </w:pPr>
    </w:p>
    <w:p w:rsidR="00000000" w:rsidRDefault="00427362">
      <w:pPr>
        <w:spacing w:before="240" w:line="321" w:lineRule="exact"/>
        <w:jc w:val="both"/>
        <w:rPr>
          <w:rFonts w:ascii="Century Gothic" w:hAnsi="Century Gothic"/>
          <w:b/>
          <w:sz w:val="40"/>
          <w:szCs w:val="32"/>
        </w:rPr>
      </w:pPr>
      <w:r>
        <w:rPr>
          <w:rFonts w:ascii="Century Gothic" w:hAnsi="Century Gothic"/>
          <w:b/>
          <w:sz w:val="40"/>
          <w:szCs w:val="32"/>
        </w:rPr>
        <w:t xml:space="preserve">Sponsoring-Charta der SAPPM </w:t>
      </w:r>
    </w:p>
    <w:p w:rsidR="00000000" w:rsidRDefault="00427362">
      <w:pPr>
        <w:spacing w:line="321" w:lineRule="exact"/>
        <w:jc w:val="both"/>
        <w:rPr>
          <w:rFonts w:ascii="Century Gothic" w:hAnsi="Century Gothic"/>
          <w:b/>
          <w:sz w:val="40"/>
          <w:szCs w:val="32"/>
        </w:rPr>
      </w:pPr>
    </w:p>
    <w:p w:rsidR="00000000" w:rsidRDefault="00427362">
      <w:pPr>
        <w:spacing w:line="321" w:lineRule="exact"/>
        <w:jc w:val="both"/>
        <w:rPr>
          <w:rFonts w:ascii="Century Gothic" w:hAnsi="Century Gothic"/>
          <w:b/>
          <w:sz w:val="40"/>
          <w:szCs w:val="32"/>
        </w:rPr>
      </w:pPr>
      <w:bookmarkStart w:id="0" w:name="_GoBack"/>
      <w:bookmarkEnd w:id="0"/>
    </w:p>
    <w:p w:rsidR="00000000" w:rsidRDefault="00427362">
      <w:pPr>
        <w:spacing w:line="321" w:lineRule="exact"/>
        <w:jc w:val="both"/>
        <w:rPr>
          <w:rFonts w:ascii="Century Gothic" w:hAnsi="Century Gothic"/>
          <w:sz w:val="24"/>
          <w:szCs w:val="22"/>
        </w:rPr>
      </w:pPr>
    </w:p>
    <w:p w:rsidR="00000000" w:rsidRPr="00427362" w:rsidRDefault="00427362">
      <w:pPr>
        <w:spacing w:line="240" w:lineRule="exact"/>
        <w:jc w:val="both"/>
        <w:rPr>
          <w:rFonts w:ascii="Century Gothic" w:hAnsi="Century Gothic"/>
          <w:b/>
          <w:sz w:val="24"/>
          <w:szCs w:val="22"/>
        </w:rPr>
      </w:pPr>
      <w:r w:rsidRPr="00427362">
        <w:rPr>
          <w:rFonts w:ascii="Century Gothic" w:hAnsi="Century Gothic"/>
          <w:b/>
          <w:sz w:val="24"/>
          <w:szCs w:val="22"/>
        </w:rPr>
        <w:t xml:space="preserve">PRAEAMBEL </w:t>
      </w:r>
    </w:p>
    <w:p w:rsidR="00000000" w:rsidRDefault="00427362">
      <w:pPr>
        <w:spacing w:line="240" w:lineRule="exact"/>
        <w:jc w:val="both"/>
        <w:rPr>
          <w:rFonts w:ascii="Century Gothic" w:hAnsi="Century Gothic"/>
          <w:sz w:val="24"/>
          <w:szCs w:val="22"/>
        </w:rPr>
      </w:pPr>
    </w:p>
    <w:p w:rsidR="00000000" w:rsidRDefault="00427362">
      <w:pPr>
        <w:spacing w:line="297" w:lineRule="exact"/>
        <w:jc w:val="both"/>
        <w:rPr>
          <w:rFonts w:ascii="Century Gothic" w:hAnsi="Century Gothic"/>
          <w:sz w:val="24"/>
          <w:szCs w:val="22"/>
        </w:rPr>
      </w:pPr>
      <w:r>
        <w:rPr>
          <w:rFonts w:ascii="Century Gothic" w:hAnsi="Century Gothic"/>
          <w:sz w:val="24"/>
          <w:szCs w:val="22"/>
        </w:rPr>
        <w:t>Die Akademie für Psychosomatische und Psychosoziale Medizin der Schweiz (APPM) setzt sich für die Pflege und Entwicklung der psychosomatischen Medizin ein und steht im Bereiche der Fortbildung in partnerschaftli</w:t>
      </w:r>
      <w:r>
        <w:rPr>
          <w:rFonts w:ascii="Century Gothic" w:hAnsi="Century Gothic"/>
          <w:sz w:val="24"/>
          <w:szCs w:val="22"/>
        </w:rPr>
        <w:t xml:space="preserve">chen Beziehungen zu </w:t>
      </w:r>
      <w:proofErr w:type="spellStart"/>
      <w:r>
        <w:rPr>
          <w:rFonts w:ascii="Century Gothic" w:hAnsi="Century Gothic"/>
          <w:sz w:val="24"/>
          <w:szCs w:val="22"/>
        </w:rPr>
        <w:t>lndustrie</w:t>
      </w:r>
      <w:proofErr w:type="spellEnd"/>
      <w:r>
        <w:rPr>
          <w:rFonts w:ascii="Century Gothic" w:hAnsi="Century Gothic"/>
          <w:sz w:val="24"/>
          <w:szCs w:val="22"/>
        </w:rPr>
        <w:t xml:space="preserve">-Anbietern und anderen, sich im Bereich der Medizin engagierenden Institutionen. </w:t>
      </w:r>
    </w:p>
    <w:p w:rsidR="00000000" w:rsidRDefault="00427362">
      <w:pPr>
        <w:spacing w:line="297" w:lineRule="exact"/>
        <w:jc w:val="both"/>
        <w:rPr>
          <w:rFonts w:ascii="Century Gothic" w:hAnsi="Century Gothic"/>
          <w:sz w:val="24"/>
          <w:szCs w:val="22"/>
        </w:rPr>
      </w:pPr>
    </w:p>
    <w:p w:rsidR="00000000" w:rsidRDefault="00427362">
      <w:pPr>
        <w:spacing w:line="331" w:lineRule="exact"/>
        <w:jc w:val="both"/>
        <w:rPr>
          <w:rFonts w:ascii="Century Gothic" w:hAnsi="Century Gothic"/>
          <w:sz w:val="24"/>
          <w:szCs w:val="22"/>
        </w:rPr>
      </w:pPr>
      <w:r>
        <w:rPr>
          <w:rFonts w:ascii="Century Gothic" w:hAnsi="Century Gothic" w:cs="Arial Narrow"/>
          <w:sz w:val="24"/>
          <w:szCs w:val="22"/>
        </w:rPr>
        <w:t xml:space="preserve">Dieses Beziehungsnetz muss ethischen Grundsätzen genügen und sich nach gesetzlichen Vorgaben </w:t>
      </w:r>
      <w:r>
        <w:rPr>
          <w:rFonts w:ascii="Century Gothic" w:hAnsi="Century Gothic"/>
          <w:sz w:val="24"/>
          <w:szCs w:val="22"/>
        </w:rPr>
        <w:t xml:space="preserve">richten. </w:t>
      </w:r>
    </w:p>
    <w:p w:rsidR="00000000" w:rsidRDefault="00427362">
      <w:pPr>
        <w:spacing w:line="331" w:lineRule="exact"/>
        <w:jc w:val="both"/>
        <w:rPr>
          <w:rFonts w:ascii="Century Gothic" w:hAnsi="Century Gothic"/>
          <w:sz w:val="24"/>
          <w:szCs w:val="22"/>
        </w:rPr>
      </w:pPr>
    </w:p>
    <w:p w:rsidR="00000000" w:rsidRDefault="00427362">
      <w:pPr>
        <w:spacing w:line="302" w:lineRule="exact"/>
        <w:jc w:val="both"/>
        <w:rPr>
          <w:rFonts w:ascii="Century Gothic" w:hAnsi="Century Gothic"/>
          <w:sz w:val="24"/>
          <w:szCs w:val="22"/>
        </w:rPr>
      </w:pPr>
      <w:r>
        <w:rPr>
          <w:rFonts w:ascii="Century Gothic" w:hAnsi="Century Gothic"/>
          <w:sz w:val="24"/>
          <w:szCs w:val="22"/>
        </w:rPr>
        <w:t>Dieses Beziehungsnetz muss nach innen wi</w:t>
      </w:r>
      <w:r>
        <w:rPr>
          <w:rFonts w:ascii="Century Gothic" w:hAnsi="Century Gothic"/>
          <w:sz w:val="24"/>
          <w:szCs w:val="22"/>
        </w:rPr>
        <w:t xml:space="preserve">e nach aussen klare, transparente und einer Kontrolle zugängliche Vereinbarungen beinhalten. </w:t>
      </w:r>
    </w:p>
    <w:p w:rsidR="00000000" w:rsidRDefault="00427362">
      <w:pPr>
        <w:spacing w:line="302" w:lineRule="exact"/>
        <w:jc w:val="both"/>
        <w:rPr>
          <w:rFonts w:ascii="Century Gothic" w:hAnsi="Century Gothic"/>
          <w:sz w:val="24"/>
          <w:szCs w:val="22"/>
        </w:rPr>
      </w:pPr>
    </w:p>
    <w:p w:rsidR="00000000" w:rsidRDefault="00427362">
      <w:pPr>
        <w:spacing w:line="302" w:lineRule="exact"/>
        <w:jc w:val="both"/>
        <w:rPr>
          <w:rFonts w:ascii="Century Gothic" w:hAnsi="Century Gothic"/>
          <w:sz w:val="24"/>
          <w:szCs w:val="22"/>
        </w:rPr>
      </w:pPr>
    </w:p>
    <w:p w:rsidR="00000000" w:rsidRPr="00427362" w:rsidRDefault="00427362">
      <w:pPr>
        <w:spacing w:line="278" w:lineRule="exact"/>
        <w:jc w:val="both"/>
        <w:rPr>
          <w:rFonts w:ascii="Century Gothic" w:hAnsi="Century Gothic"/>
          <w:b/>
          <w:sz w:val="24"/>
          <w:szCs w:val="22"/>
        </w:rPr>
      </w:pPr>
      <w:r w:rsidRPr="00427362">
        <w:rPr>
          <w:rFonts w:ascii="Century Gothic" w:hAnsi="Century Gothic"/>
          <w:b/>
          <w:sz w:val="24"/>
          <w:szCs w:val="22"/>
        </w:rPr>
        <w:t xml:space="preserve">SPONSORING </w:t>
      </w:r>
    </w:p>
    <w:p w:rsidR="00000000" w:rsidRDefault="00427362">
      <w:pPr>
        <w:spacing w:line="278" w:lineRule="exact"/>
        <w:jc w:val="both"/>
        <w:rPr>
          <w:rFonts w:ascii="Century Gothic" w:hAnsi="Century Gothic"/>
          <w:sz w:val="24"/>
          <w:szCs w:val="22"/>
        </w:rPr>
      </w:pPr>
    </w:p>
    <w:p w:rsidR="00000000" w:rsidRDefault="00427362">
      <w:pPr>
        <w:spacing w:line="292" w:lineRule="exact"/>
        <w:jc w:val="both"/>
        <w:rPr>
          <w:rFonts w:ascii="Century Gothic" w:hAnsi="Century Gothic"/>
          <w:sz w:val="24"/>
          <w:szCs w:val="22"/>
        </w:rPr>
      </w:pPr>
      <w:r>
        <w:rPr>
          <w:rFonts w:ascii="Century Gothic" w:hAnsi="Century Gothic"/>
          <w:sz w:val="24"/>
          <w:szCs w:val="22"/>
        </w:rPr>
        <w:t>Sponsoring-Aktivitäten sollen der Verbesserung der medizinischen Versorgung zum Wohle der Patienten führen und/oder die ärztliche Tätigkeit bei die</w:t>
      </w:r>
      <w:r>
        <w:rPr>
          <w:rFonts w:ascii="Century Gothic" w:hAnsi="Century Gothic"/>
          <w:sz w:val="24"/>
          <w:szCs w:val="22"/>
        </w:rPr>
        <w:t xml:space="preserve">ser Zielsetzung unterstützen. </w:t>
      </w:r>
    </w:p>
    <w:p w:rsidR="00000000" w:rsidRDefault="00427362">
      <w:pPr>
        <w:spacing w:line="292" w:lineRule="exact"/>
        <w:jc w:val="both"/>
        <w:rPr>
          <w:rFonts w:ascii="Century Gothic" w:hAnsi="Century Gothic"/>
          <w:sz w:val="24"/>
          <w:szCs w:val="22"/>
        </w:rPr>
      </w:pPr>
    </w:p>
    <w:p w:rsidR="00000000" w:rsidRDefault="00427362">
      <w:pPr>
        <w:spacing w:line="321" w:lineRule="exact"/>
        <w:jc w:val="both"/>
        <w:rPr>
          <w:rFonts w:ascii="Century Gothic" w:hAnsi="Century Gothic"/>
          <w:sz w:val="24"/>
          <w:szCs w:val="22"/>
        </w:rPr>
      </w:pPr>
      <w:r>
        <w:rPr>
          <w:rFonts w:ascii="Century Gothic" w:hAnsi="Century Gothic"/>
          <w:sz w:val="24"/>
          <w:szCs w:val="22"/>
        </w:rPr>
        <w:t xml:space="preserve">Sponsoring bedeutet die Vergabe "geldwerter Vorteile" ohne direkte gleichwertige Gegenleistung. </w:t>
      </w:r>
    </w:p>
    <w:p w:rsidR="00000000" w:rsidRDefault="00427362">
      <w:pPr>
        <w:spacing w:before="28" w:line="259" w:lineRule="exact"/>
        <w:jc w:val="both"/>
        <w:rPr>
          <w:rFonts w:ascii="Century Gothic" w:hAnsi="Century Gothic"/>
          <w:sz w:val="24"/>
          <w:szCs w:val="22"/>
        </w:rPr>
      </w:pPr>
    </w:p>
    <w:p w:rsidR="00000000" w:rsidRDefault="00427362">
      <w:pPr>
        <w:spacing w:line="297" w:lineRule="exact"/>
        <w:jc w:val="both"/>
        <w:rPr>
          <w:rFonts w:ascii="Century Gothic" w:hAnsi="Century Gothic"/>
          <w:sz w:val="24"/>
          <w:szCs w:val="22"/>
        </w:rPr>
      </w:pPr>
      <w:r>
        <w:rPr>
          <w:rFonts w:ascii="Century Gothic" w:hAnsi="Century Gothic"/>
          <w:sz w:val="24"/>
          <w:szCs w:val="22"/>
        </w:rPr>
        <w:t xml:space="preserve">Sponsoring-Gelder können in Bereichen der Aus-, Fort- </w:t>
      </w:r>
      <w:proofErr w:type="gramStart"/>
      <w:r>
        <w:rPr>
          <w:rFonts w:ascii="Century Gothic" w:hAnsi="Century Gothic"/>
          <w:sz w:val="24"/>
          <w:szCs w:val="22"/>
        </w:rPr>
        <w:t>und  Weiterbildung</w:t>
      </w:r>
      <w:proofErr w:type="gramEnd"/>
      <w:r>
        <w:rPr>
          <w:rFonts w:ascii="Century Gothic" w:hAnsi="Century Gothic"/>
          <w:sz w:val="24"/>
          <w:szCs w:val="22"/>
        </w:rPr>
        <w:t xml:space="preserve">, der Forschung, standespolitischer Anliegen oder der </w:t>
      </w:r>
      <w:r>
        <w:rPr>
          <w:rFonts w:ascii="Century Gothic" w:hAnsi="Century Gothic"/>
          <w:sz w:val="24"/>
          <w:szCs w:val="22"/>
        </w:rPr>
        <w:t xml:space="preserve">Reduktion von Kongresskosten dienen. </w:t>
      </w:r>
    </w:p>
    <w:p w:rsidR="00000000" w:rsidRDefault="00427362">
      <w:pPr>
        <w:spacing w:before="33" w:line="297" w:lineRule="exact"/>
        <w:jc w:val="both"/>
        <w:rPr>
          <w:rFonts w:ascii="Century Gothic" w:hAnsi="Century Gothic"/>
          <w:sz w:val="24"/>
          <w:szCs w:val="22"/>
        </w:rPr>
      </w:pPr>
    </w:p>
    <w:p w:rsidR="00000000" w:rsidRDefault="00427362">
      <w:pPr>
        <w:spacing w:line="288" w:lineRule="exact"/>
        <w:jc w:val="both"/>
        <w:rPr>
          <w:rFonts w:ascii="Century Gothic" w:hAnsi="Century Gothic"/>
          <w:sz w:val="24"/>
          <w:szCs w:val="22"/>
        </w:rPr>
      </w:pPr>
      <w:r>
        <w:rPr>
          <w:rFonts w:ascii="Century Gothic" w:hAnsi="Century Gothic"/>
          <w:sz w:val="24"/>
          <w:szCs w:val="22"/>
        </w:rPr>
        <w:t xml:space="preserve">Diese Gelder dürfen nicht dem Gebrauch eines bestimmten Produktes oder der Beeinflussung des Fortbildungsinhaltes dienen. </w:t>
      </w:r>
    </w:p>
    <w:p w:rsidR="00000000" w:rsidRDefault="00427362">
      <w:pPr>
        <w:spacing w:line="288" w:lineRule="exact"/>
        <w:jc w:val="both"/>
        <w:rPr>
          <w:rFonts w:ascii="Century Gothic" w:hAnsi="Century Gothic"/>
          <w:sz w:val="24"/>
          <w:szCs w:val="22"/>
        </w:rPr>
      </w:pPr>
    </w:p>
    <w:p w:rsidR="00000000" w:rsidRDefault="00427362">
      <w:pPr>
        <w:spacing w:line="278" w:lineRule="exact"/>
        <w:jc w:val="both"/>
        <w:rPr>
          <w:rFonts w:ascii="Century Gothic" w:hAnsi="Century Gothic"/>
          <w:sz w:val="24"/>
          <w:szCs w:val="22"/>
        </w:rPr>
      </w:pPr>
      <w:r>
        <w:rPr>
          <w:rFonts w:ascii="Century Gothic" w:hAnsi="Century Gothic"/>
          <w:sz w:val="24"/>
          <w:szCs w:val="22"/>
        </w:rPr>
        <w:t xml:space="preserve">Monosponsoring im Dienste eines Produktes sollte vermieden werden. </w:t>
      </w:r>
    </w:p>
    <w:p w:rsidR="00000000" w:rsidRDefault="00427362">
      <w:pPr>
        <w:spacing w:line="278" w:lineRule="exact"/>
        <w:jc w:val="both"/>
        <w:rPr>
          <w:rFonts w:ascii="Century Gothic" w:hAnsi="Century Gothic"/>
          <w:sz w:val="24"/>
          <w:szCs w:val="22"/>
        </w:rPr>
      </w:pPr>
    </w:p>
    <w:p w:rsidR="00000000" w:rsidRDefault="00427362">
      <w:pPr>
        <w:spacing w:line="278" w:lineRule="exact"/>
        <w:jc w:val="both"/>
        <w:rPr>
          <w:rFonts w:ascii="Century Gothic" w:hAnsi="Century Gothic"/>
          <w:sz w:val="24"/>
          <w:szCs w:val="22"/>
        </w:rPr>
      </w:pPr>
      <w:r>
        <w:rPr>
          <w:rFonts w:ascii="Century Gothic" w:hAnsi="Century Gothic"/>
          <w:sz w:val="24"/>
          <w:szCs w:val="22"/>
        </w:rPr>
        <w:t>Das Sponsoring darf kein</w:t>
      </w:r>
      <w:r>
        <w:rPr>
          <w:rFonts w:ascii="Century Gothic" w:hAnsi="Century Gothic"/>
          <w:sz w:val="24"/>
          <w:szCs w:val="22"/>
        </w:rPr>
        <w:t xml:space="preserve">en Einfluss auf Themenwahl und auf Lernziele haben. </w:t>
      </w:r>
    </w:p>
    <w:p w:rsidR="00000000" w:rsidRDefault="00427362">
      <w:pPr>
        <w:spacing w:line="278" w:lineRule="exact"/>
        <w:jc w:val="both"/>
        <w:rPr>
          <w:rFonts w:ascii="Century Gothic" w:hAnsi="Century Gothic"/>
          <w:sz w:val="24"/>
          <w:szCs w:val="22"/>
        </w:rPr>
      </w:pPr>
    </w:p>
    <w:p w:rsidR="00000000" w:rsidRDefault="00427362">
      <w:pPr>
        <w:spacing w:line="292" w:lineRule="exact"/>
        <w:jc w:val="both"/>
        <w:rPr>
          <w:rFonts w:ascii="Century Gothic" w:hAnsi="Century Gothic"/>
          <w:sz w:val="24"/>
          <w:szCs w:val="22"/>
        </w:rPr>
      </w:pPr>
      <w:r>
        <w:rPr>
          <w:rFonts w:ascii="Century Gothic" w:hAnsi="Century Gothic"/>
          <w:sz w:val="24"/>
          <w:szCs w:val="22"/>
        </w:rPr>
        <w:t xml:space="preserve">Industrieausstellungen anlässlich von Kongressen und anderen Fortbildungsveranstaltungen sind erlaubt für das Vorstellen von Produkten. Die Ausstellung sollte nicht in den Vortragssälen stattfinden. </w:t>
      </w:r>
    </w:p>
    <w:p w:rsidR="00000000" w:rsidRDefault="00427362">
      <w:pPr>
        <w:spacing w:line="297" w:lineRule="exact"/>
        <w:jc w:val="both"/>
        <w:rPr>
          <w:rFonts w:ascii="Century Gothic" w:hAnsi="Century Gothic"/>
          <w:sz w:val="24"/>
          <w:szCs w:val="22"/>
        </w:rPr>
      </w:pPr>
      <w:r>
        <w:rPr>
          <w:rFonts w:ascii="Century Gothic" w:hAnsi="Century Gothic"/>
          <w:sz w:val="24"/>
          <w:szCs w:val="22"/>
        </w:rPr>
        <w:lastRenderedPageBreak/>
        <w:t>Ge</w:t>
      </w:r>
      <w:r>
        <w:rPr>
          <w:rFonts w:ascii="Century Gothic" w:hAnsi="Century Gothic"/>
          <w:sz w:val="24"/>
          <w:szCs w:val="22"/>
        </w:rPr>
        <w:t xml:space="preserve">schenke mit "geldwertem Vorteil von bescheidenem Wert, die für die medizinische Praxis von Belang sind", sind nach HMG, Art 33, erlaubt. </w:t>
      </w:r>
    </w:p>
    <w:p w:rsidR="00000000" w:rsidRDefault="00427362">
      <w:pPr>
        <w:spacing w:line="297" w:lineRule="exact"/>
        <w:jc w:val="both"/>
        <w:rPr>
          <w:rFonts w:ascii="Century Gothic" w:hAnsi="Century Gothic"/>
          <w:sz w:val="24"/>
          <w:szCs w:val="22"/>
        </w:rPr>
      </w:pPr>
    </w:p>
    <w:p w:rsidR="00000000" w:rsidRPr="00427362" w:rsidRDefault="00427362">
      <w:pPr>
        <w:spacing w:line="278" w:lineRule="exact"/>
        <w:jc w:val="both"/>
        <w:rPr>
          <w:rFonts w:ascii="Century Gothic" w:hAnsi="Century Gothic" w:cs="Arial Narrow"/>
          <w:b/>
          <w:sz w:val="24"/>
          <w:szCs w:val="22"/>
        </w:rPr>
      </w:pPr>
      <w:r w:rsidRPr="00427362">
        <w:rPr>
          <w:rFonts w:ascii="Century Gothic" w:hAnsi="Century Gothic" w:cs="Arial Narrow"/>
          <w:b/>
          <w:sz w:val="24"/>
          <w:szCs w:val="22"/>
        </w:rPr>
        <w:t xml:space="preserve">TRANSPARENZ </w:t>
      </w:r>
    </w:p>
    <w:p w:rsidR="00000000" w:rsidRDefault="00427362">
      <w:pPr>
        <w:spacing w:line="278" w:lineRule="exact"/>
        <w:jc w:val="both"/>
        <w:rPr>
          <w:rFonts w:ascii="Century Gothic" w:hAnsi="Century Gothic" w:cs="Arial Narrow"/>
          <w:sz w:val="24"/>
          <w:szCs w:val="22"/>
        </w:rPr>
      </w:pPr>
    </w:p>
    <w:p w:rsidR="00000000" w:rsidRDefault="00427362">
      <w:pPr>
        <w:spacing w:line="297" w:lineRule="exact"/>
        <w:jc w:val="both"/>
        <w:rPr>
          <w:rFonts w:ascii="Century Gothic" w:hAnsi="Century Gothic"/>
          <w:sz w:val="24"/>
          <w:szCs w:val="22"/>
        </w:rPr>
      </w:pPr>
      <w:r>
        <w:rPr>
          <w:rFonts w:ascii="Century Gothic" w:hAnsi="Century Gothic"/>
          <w:sz w:val="24"/>
          <w:szCs w:val="22"/>
        </w:rPr>
        <w:t>Die Organisatoren führen über die Verwendung der Sponsoring-Gelder Buch. Diese Buchführung kann von der</w:t>
      </w:r>
      <w:r>
        <w:rPr>
          <w:rFonts w:ascii="Century Gothic" w:hAnsi="Century Gothic"/>
          <w:sz w:val="24"/>
          <w:szCs w:val="22"/>
        </w:rPr>
        <w:t xml:space="preserve"> APPM eingesehen werden. </w:t>
      </w:r>
    </w:p>
    <w:p w:rsidR="00000000" w:rsidRDefault="00427362">
      <w:pPr>
        <w:spacing w:line="297" w:lineRule="exact"/>
        <w:jc w:val="both"/>
        <w:rPr>
          <w:rFonts w:ascii="Century Gothic" w:hAnsi="Century Gothic"/>
          <w:sz w:val="24"/>
          <w:szCs w:val="22"/>
        </w:rPr>
      </w:pPr>
    </w:p>
    <w:p w:rsidR="00000000" w:rsidRDefault="00427362">
      <w:pPr>
        <w:spacing w:line="273" w:lineRule="exact"/>
        <w:jc w:val="both"/>
        <w:rPr>
          <w:rFonts w:ascii="Century Gothic" w:hAnsi="Century Gothic"/>
          <w:sz w:val="24"/>
          <w:szCs w:val="22"/>
        </w:rPr>
      </w:pPr>
      <w:r>
        <w:rPr>
          <w:rFonts w:ascii="Century Gothic" w:hAnsi="Century Gothic"/>
          <w:sz w:val="24"/>
          <w:szCs w:val="22"/>
        </w:rPr>
        <w:t xml:space="preserve">Entschädigungen für Spesen wie Reisen, Mahlzeiten, Unterkunft und Vorbereitungszeit müssen belegbar sein. </w:t>
      </w:r>
    </w:p>
    <w:p w:rsidR="00000000" w:rsidRDefault="00427362">
      <w:pPr>
        <w:spacing w:line="273" w:lineRule="exact"/>
        <w:jc w:val="both"/>
        <w:rPr>
          <w:rFonts w:ascii="Century Gothic" w:hAnsi="Century Gothic"/>
          <w:sz w:val="24"/>
          <w:szCs w:val="22"/>
        </w:rPr>
      </w:pPr>
    </w:p>
    <w:p w:rsidR="00000000" w:rsidRDefault="00427362">
      <w:pPr>
        <w:spacing w:line="292" w:lineRule="exact"/>
        <w:jc w:val="both"/>
        <w:rPr>
          <w:rFonts w:ascii="Century Gothic" w:hAnsi="Century Gothic"/>
          <w:sz w:val="24"/>
          <w:szCs w:val="22"/>
        </w:rPr>
      </w:pPr>
      <w:r>
        <w:rPr>
          <w:rFonts w:ascii="Century Gothic" w:hAnsi="Century Gothic"/>
          <w:sz w:val="24"/>
          <w:szCs w:val="22"/>
        </w:rPr>
        <w:t>Direktzahlungen der Sponsoren an Referenten etc. sollten im Dienste der Verhinderung von Beeinflussbarkeit vermieden werd</w:t>
      </w:r>
      <w:r>
        <w:rPr>
          <w:rFonts w:ascii="Century Gothic" w:hAnsi="Century Gothic"/>
          <w:sz w:val="24"/>
          <w:szCs w:val="22"/>
        </w:rPr>
        <w:t xml:space="preserve">en. </w:t>
      </w:r>
    </w:p>
    <w:p w:rsidR="00000000" w:rsidRDefault="00427362">
      <w:pPr>
        <w:spacing w:line="292" w:lineRule="exact"/>
        <w:jc w:val="both"/>
        <w:rPr>
          <w:rFonts w:ascii="Century Gothic" w:hAnsi="Century Gothic"/>
          <w:sz w:val="24"/>
          <w:szCs w:val="22"/>
        </w:rPr>
      </w:pPr>
    </w:p>
    <w:p w:rsidR="00000000" w:rsidRDefault="00427362">
      <w:pPr>
        <w:spacing w:line="292" w:lineRule="exact"/>
        <w:jc w:val="both"/>
        <w:rPr>
          <w:rFonts w:ascii="Century Gothic" w:hAnsi="Century Gothic"/>
          <w:sz w:val="24"/>
          <w:szCs w:val="22"/>
        </w:rPr>
      </w:pPr>
    </w:p>
    <w:p w:rsidR="00000000" w:rsidRDefault="00427362">
      <w:pPr>
        <w:spacing w:line="278" w:lineRule="exact"/>
        <w:jc w:val="both"/>
        <w:rPr>
          <w:rFonts w:ascii="Century Gothic" w:hAnsi="Century Gothic" w:cs="Arial Narrow"/>
          <w:sz w:val="24"/>
          <w:szCs w:val="22"/>
        </w:rPr>
      </w:pPr>
      <w:r>
        <w:rPr>
          <w:rFonts w:ascii="Century Gothic" w:hAnsi="Century Gothic" w:cs="Arial Narrow"/>
          <w:sz w:val="24"/>
          <w:szCs w:val="22"/>
        </w:rPr>
        <w:t xml:space="preserve">INTERESSENSKONFLIKTE SIND ZU DEKLARIEREN. </w:t>
      </w:r>
    </w:p>
    <w:p w:rsidR="00000000" w:rsidRDefault="00427362">
      <w:pPr>
        <w:spacing w:line="278" w:lineRule="exact"/>
        <w:jc w:val="both"/>
        <w:rPr>
          <w:rFonts w:ascii="Century Gothic" w:hAnsi="Century Gothic" w:cs="Arial Narrow"/>
          <w:sz w:val="24"/>
          <w:szCs w:val="22"/>
        </w:rPr>
      </w:pPr>
    </w:p>
    <w:p w:rsidR="00000000" w:rsidRDefault="00427362">
      <w:pPr>
        <w:jc w:val="both"/>
        <w:rPr>
          <w:rFonts w:ascii="Century Gothic" w:hAnsi="Century Gothic"/>
          <w:sz w:val="24"/>
          <w:szCs w:val="22"/>
        </w:rPr>
      </w:pPr>
    </w:p>
    <w:p w:rsidR="00000000" w:rsidRDefault="00427362">
      <w:pPr>
        <w:jc w:val="both"/>
        <w:rPr>
          <w:rFonts w:ascii="Century Gothic" w:hAnsi="Century Gothic"/>
          <w:sz w:val="24"/>
          <w:szCs w:val="22"/>
        </w:rPr>
      </w:pPr>
    </w:p>
    <w:p w:rsidR="00000000" w:rsidRDefault="00427362">
      <w:pPr>
        <w:jc w:val="both"/>
        <w:rPr>
          <w:rFonts w:ascii="Century Gothic" w:hAnsi="Century Gothic"/>
          <w:sz w:val="24"/>
          <w:szCs w:val="22"/>
        </w:rPr>
      </w:pPr>
    </w:p>
    <w:p w:rsidR="00000000" w:rsidRDefault="00427362">
      <w:pPr>
        <w:jc w:val="both"/>
        <w:rPr>
          <w:rFonts w:ascii="Century Gothic" w:hAnsi="Century Gothic"/>
          <w:sz w:val="24"/>
          <w:szCs w:val="22"/>
        </w:rPr>
      </w:pPr>
    </w:p>
    <w:p w:rsidR="00000000" w:rsidRDefault="00427362">
      <w:pPr>
        <w:jc w:val="both"/>
        <w:rPr>
          <w:rFonts w:ascii="Century Gothic" w:hAnsi="Century Gothic"/>
          <w:sz w:val="24"/>
          <w:szCs w:val="22"/>
        </w:rPr>
      </w:pPr>
    </w:p>
    <w:p w:rsidR="00000000" w:rsidRDefault="00427362">
      <w:pPr>
        <w:jc w:val="both"/>
        <w:rPr>
          <w:rFonts w:ascii="Century Gothic" w:hAnsi="Century Gothic"/>
          <w:sz w:val="24"/>
          <w:szCs w:val="22"/>
        </w:rPr>
      </w:pPr>
    </w:p>
    <w:p w:rsidR="00000000" w:rsidRDefault="00427362">
      <w:pPr>
        <w:jc w:val="both"/>
        <w:rPr>
          <w:rFonts w:ascii="Century Gothic" w:hAnsi="Century Gothic"/>
          <w:sz w:val="24"/>
          <w:szCs w:val="22"/>
        </w:rPr>
      </w:pPr>
      <w:r>
        <w:rPr>
          <w:rFonts w:ascii="Century Gothic" w:hAnsi="Century Gothic"/>
          <w:sz w:val="24"/>
          <w:szCs w:val="22"/>
        </w:rPr>
        <w:t>Vorstand SAPPM</w:t>
      </w:r>
    </w:p>
    <w:p w:rsidR="00000000" w:rsidRDefault="00427362">
      <w:pPr>
        <w:jc w:val="both"/>
        <w:rPr>
          <w:rFonts w:ascii="Century Gothic" w:hAnsi="Century Gothic"/>
          <w:sz w:val="24"/>
          <w:szCs w:val="22"/>
        </w:rPr>
      </w:pPr>
      <w:r>
        <w:rPr>
          <w:rFonts w:ascii="Century Gothic" w:hAnsi="Century Gothic"/>
          <w:sz w:val="24"/>
          <w:szCs w:val="22"/>
        </w:rPr>
        <w:t>14.12.2003, 2008</w:t>
      </w:r>
    </w:p>
    <w:p w:rsidR="00000000" w:rsidRDefault="00427362">
      <w:pPr>
        <w:jc w:val="both"/>
        <w:rPr>
          <w:rFonts w:ascii="Century Gothic" w:hAnsi="Century Gothic"/>
          <w:sz w:val="24"/>
          <w:szCs w:val="22"/>
        </w:rPr>
      </w:pPr>
    </w:p>
    <w:p w:rsidR="00000000" w:rsidRDefault="00427362">
      <w:pPr>
        <w:jc w:val="both"/>
        <w:rPr>
          <w:rFonts w:ascii="Century Gothic" w:hAnsi="Century Gothic"/>
          <w:sz w:val="24"/>
          <w:szCs w:val="22"/>
        </w:rPr>
      </w:pPr>
    </w:p>
    <w:p w:rsidR="00000000" w:rsidRDefault="00427362">
      <w:pPr>
        <w:jc w:val="both"/>
        <w:rPr>
          <w:rFonts w:ascii="Century Gothic" w:hAnsi="Century Gothic"/>
          <w:sz w:val="24"/>
          <w:szCs w:val="22"/>
        </w:rPr>
      </w:pPr>
    </w:p>
    <w:p w:rsidR="00000000" w:rsidRDefault="00427362">
      <w:pPr>
        <w:jc w:val="both"/>
        <w:rPr>
          <w:rFonts w:ascii="Century Gothic" w:hAnsi="Century Gothic"/>
          <w:sz w:val="24"/>
          <w:szCs w:val="22"/>
        </w:rPr>
      </w:pPr>
    </w:p>
    <w:p w:rsidR="00000000" w:rsidRDefault="00427362">
      <w:pPr>
        <w:jc w:val="both"/>
        <w:rPr>
          <w:rFonts w:ascii="Century Gothic" w:hAnsi="Century Gothic"/>
          <w:sz w:val="24"/>
          <w:szCs w:val="22"/>
        </w:rPr>
      </w:pPr>
    </w:p>
    <w:p w:rsidR="00000000" w:rsidRDefault="00427362">
      <w:pPr>
        <w:jc w:val="both"/>
        <w:rPr>
          <w:rFonts w:ascii="Century Gothic" w:hAnsi="Century Gothic"/>
          <w:sz w:val="24"/>
          <w:szCs w:val="22"/>
        </w:rPr>
      </w:pPr>
    </w:p>
    <w:p w:rsidR="00000000" w:rsidRDefault="00427362">
      <w:pPr>
        <w:jc w:val="both"/>
        <w:rPr>
          <w:rFonts w:ascii="Century Gothic" w:hAnsi="Century Gothic"/>
          <w:sz w:val="24"/>
          <w:szCs w:val="22"/>
        </w:rPr>
      </w:pPr>
    </w:p>
    <w:p w:rsidR="00000000" w:rsidRDefault="00427362">
      <w:pPr>
        <w:jc w:val="both"/>
        <w:rPr>
          <w:rFonts w:ascii="Century Gothic" w:hAnsi="Century Gothic"/>
          <w:sz w:val="24"/>
          <w:szCs w:val="22"/>
        </w:rPr>
      </w:pPr>
    </w:p>
    <w:p w:rsidR="00000000" w:rsidRDefault="00427362">
      <w:pPr>
        <w:jc w:val="both"/>
        <w:rPr>
          <w:rFonts w:ascii="Century Gothic" w:hAnsi="Century Gothic"/>
          <w:sz w:val="24"/>
          <w:szCs w:val="22"/>
        </w:rPr>
      </w:pPr>
    </w:p>
    <w:p w:rsidR="00000000" w:rsidRDefault="00427362">
      <w:pPr>
        <w:jc w:val="both"/>
        <w:rPr>
          <w:rFonts w:ascii="Century Gothic" w:hAnsi="Century Gothic"/>
          <w:sz w:val="24"/>
          <w:szCs w:val="22"/>
        </w:rPr>
      </w:pPr>
    </w:p>
    <w:p w:rsidR="00000000" w:rsidRDefault="00427362">
      <w:pPr>
        <w:jc w:val="both"/>
        <w:rPr>
          <w:rFonts w:ascii="Century Gothic" w:hAnsi="Century Gothic"/>
          <w:sz w:val="24"/>
          <w:szCs w:val="22"/>
        </w:rPr>
      </w:pPr>
    </w:p>
    <w:p w:rsidR="00000000" w:rsidRDefault="00427362">
      <w:pPr>
        <w:jc w:val="both"/>
        <w:rPr>
          <w:rFonts w:ascii="Century Gothic" w:hAnsi="Century Gothic"/>
          <w:sz w:val="24"/>
          <w:szCs w:val="22"/>
        </w:rPr>
      </w:pPr>
    </w:p>
    <w:p w:rsidR="00000000" w:rsidRDefault="00427362">
      <w:pPr>
        <w:jc w:val="both"/>
        <w:rPr>
          <w:rFonts w:ascii="Century Gothic" w:hAnsi="Century Gothic"/>
          <w:sz w:val="24"/>
          <w:szCs w:val="22"/>
        </w:rPr>
      </w:pPr>
    </w:p>
    <w:p w:rsidR="00000000" w:rsidRDefault="00427362">
      <w:pPr>
        <w:jc w:val="both"/>
        <w:rPr>
          <w:rFonts w:ascii="Century Gothic" w:hAnsi="Century Gothic"/>
          <w:sz w:val="24"/>
          <w:szCs w:val="22"/>
        </w:rPr>
      </w:pPr>
    </w:p>
    <w:p w:rsidR="00000000" w:rsidRDefault="00427362">
      <w:pPr>
        <w:jc w:val="both"/>
        <w:rPr>
          <w:rFonts w:ascii="Century Gothic" w:hAnsi="Century Gothic"/>
          <w:sz w:val="24"/>
          <w:szCs w:val="22"/>
        </w:rPr>
      </w:pPr>
    </w:p>
    <w:p w:rsidR="00000000" w:rsidRDefault="00E27011">
      <w:pPr>
        <w:jc w:val="both"/>
        <w:rPr>
          <w:rFonts w:ascii="Century Gothic" w:hAnsi="Century Gothic"/>
          <w:sz w:val="18"/>
          <w:szCs w:val="16"/>
        </w:rPr>
      </w:pPr>
      <w:r>
        <w:rPr>
          <w:rFonts w:ascii="Century Gothic" w:hAnsi="Century Gothic"/>
          <w:noProof/>
          <w:sz w:val="24"/>
          <w:szCs w:val="22"/>
          <w:lang w:eastAsia="de-CH"/>
        </w:rPr>
        <w:drawing>
          <wp:inline distT="0" distB="0" distL="0" distR="0">
            <wp:extent cx="19050" cy="19050"/>
            <wp:effectExtent l="0" t="0" r="0" b="0"/>
            <wp:docPr id="3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27362">
      <w:pPr>
        <w:spacing w:line="182" w:lineRule="exact"/>
        <w:jc w:val="both"/>
        <w:rPr>
          <w:rFonts w:ascii="Century Gothic" w:hAnsi="Century Gothic"/>
          <w:sz w:val="18"/>
          <w:szCs w:val="16"/>
        </w:rPr>
      </w:pPr>
    </w:p>
    <w:p w:rsidR="00000000" w:rsidRDefault="00427362">
      <w:pPr>
        <w:jc w:val="both"/>
        <w:rPr>
          <w:rFonts w:ascii="Century Gothic" w:hAnsi="Century Gothic"/>
          <w:sz w:val="24"/>
          <w:szCs w:val="22"/>
        </w:rPr>
      </w:pPr>
    </w:p>
    <w:p w:rsidR="00000000" w:rsidRDefault="00427362">
      <w:pPr>
        <w:jc w:val="both"/>
      </w:pPr>
    </w:p>
    <w:sectPr w:rsidR="00000000">
      <w:headerReference w:type="default" r:id="rId8"/>
      <w:pgSz w:w="11906" w:h="16783"/>
      <w:pgMar w:top="992" w:right="992" w:bottom="1220" w:left="1134" w:header="720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27362">
      <w:r>
        <w:separator/>
      </w:r>
    </w:p>
  </w:endnote>
  <w:endnote w:type="continuationSeparator" w:id="0">
    <w:p w:rsidR="00000000" w:rsidRDefault="00427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rutiger"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27362">
      <w:r>
        <w:separator/>
      </w:r>
    </w:p>
  </w:footnote>
  <w:footnote w:type="continuationSeparator" w:id="0">
    <w:p w:rsidR="00000000" w:rsidRDefault="004273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E27011">
    <w:pPr>
      <w:pStyle w:val="Kopfzeile"/>
      <w:tabs>
        <w:tab w:val="clear" w:pos="4536"/>
        <w:tab w:val="clear" w:pos="9072"/>
        <w:tab w:val="right" w:pos="8080"/>
      </w:tabs>
      <w:rPr>
        <w:rFonts w:ascii="Century Gothic" w:hAnsi="Century Gothic"/>
        <w:b/>
      </w:rPr>
    </w:pPr>
    <w:r>
      <w:rPr>
        <w:noProof/>
        <w:lang w:eastAsia="de-CH"/>
      </w:rPr>
      <mc:AlternateContent>
        <mc:Choice Requires="wps">
          <w:drawing>
            <wp:anchor distT="0" distB="0" distL="114935" distR="114935" simplePos="0" relativeHeight="251657728" behindDoc="1" locked="0" layoutInCell="1" allowOverlap="1">
              <wp:simplePos x="0" y="0"/>
              <wp:positionH relativeFrom="column">
                <wp:posOffset>5160010</wp:posOffset>
              </wp:positionH>
              <wp:positionV relativeFrom="paragraph">
                <wp:posOffset>2540</wp:posOffset>
              </wp:positionV>
              <wp:extent cx="1145540" cy="6883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5540" cy="6883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E27011">
                          <w:r>
                            <w:rPr>
                              <w:noProof/>
                              <w:lang w:eastAsia="de-CH"/>
                            </w:rPr>
                            <w:drawing>
                              <wp:inline distT="0" distB="0" distL="0" distR="0">
                                <wp:extent cx="1143000" cy="685800"/>
                                <wp:effectExtent l="0" t="0" r="0" b="0"/>
                                <wp:docPr id="2" name="Bild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43000" cy="6858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06.3pt;margin-top:.2pt;width:90.2pt;height:54.2pt;z-index:-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" stroked="f">
              <v:fill opacity="0"/>
              <v:textbox inset="0,0,0,0">
                <w:txbxContent>
                  <w:p w:rsidR="00000000" w:rsidRDefault="00E27011">
                    <w:r>
                      <w:rPr>
                        <w:noProof/>
                        <w:lang w:eastAsia="de-CH"/>
                      </w:rPr>
                      <w:drawing>
                        <wp:inline distT="0" distB="0" distL="0" distR="0">
                          <wp:extent cx="1143000" cy="685800"/>
                          <wp:effectExtent l="0" t="0" r="0" b="0"/>
                          <wp:docPr id="2" name="Bild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43000" cy="6858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427362">
      <w:rPr>
        <w:rFonts w:ascii="Century Gothic" w:hAnsi="Century Gothic"/>
        <w:b/>
      </w:rPr>
      <w:t>S</w:t>
    </w:r>
    <w:r w:rsidR="00427362">
      <w:rPr>
        <w:rFonts w:ascii="Century Gothic" w:hAnsi="Century Gothic"/>
        <w:b/>
      </w:rPr>
      <w:t xml:space="preserve">chweizerische </w:t>
    </w:r>
    <w:r w:rsidR="00427362">
      <w:rPr>
        <w:rFonts w:ascii="Century Gothic" w:hAnsi="Century Gothic"/>
        <w:b/>
      </w:rPr>
      <w:t>Akademie für Psychosomatische und Psychosoziale Medizin SAPPM</w:t>
    </w:r>
  </w:p>
  <w:p w:rsidR="00000000" w:rsidRDefault="00427362">
    <w:pPr>
      <w:pStyle w:val="Kopfzeile"/>
      <w:tabs>
        <w:tab w:val="clear" w:pos="4536"/>
        <w:tab w:val="clear" w:pos="9072"/>
        <w:tab w:val="right" w:pos="8080"/>
      </w:tabs>
      <w:ind w:hanging="426"/>
      <w:rPr>
        <w:rFonts w:ascii="Century Gothic" w:hAnsi="Century Gothic"/>
        <w:b/>
        <w:lang w:val="fr-FR"/>
      </w:rPr>
    </w:pPr>
    <w:r>
      <w:rPr>
        <w:rFonts w:ascii="Century Gothic" w:hAnsi="Century Gothic"/>
      </w:rPr>
      <w:tab/>
    </w:r>
    <w:r>
      <w:rPr>
        <w:rFonts w:ascii="Century Gothic" w:hAnsi="Century Gothic"/>
      </w:rPr>
      <w:tab/>
    </w:r>
    <w:r>
      <w:rPr>
        <w:rFonts w:ascii="Century Gothic" w:hAnsi="Century Gothic"/>
        <w:b/>
        <w:lang w:val="fr-FR"/>
      </w:rPr>
      <w:t>Académie Suisse pour la Médecine Psychosomatique et Psychosociale A</w:t>
    </w:r>
    <w:r>
      <w:rPr>
        <w:rFonts w:ascii="Century Gothic" w:hAnsi="Century Gothic"/>
        <w:b/>
        <w:lang w:val="fr-FR"/>
      </w:rPr>
      <w:t>SMPP</w:t>
    </w:r>
  </w:p>
  <w:p w:rsidR="00000000" w:rsidRDefault="00427362">
    <w:pPr>
      <w:pStyle w:val="Kopfzeile"/>
      <w:tabs>
        <w:tab w:val="clear" w:pos="4536"/>
        <w:tab w:val="clear" w:pos="9072"/>
        <w:tab w:val="right" w:pos="8080"/>
      </w:tabs>
      <w:ind w:hanging="426"/>
      <w:rPr>
        <w:rFonts w:ascii="Century Gothic" w:hAnsi="Century Gothic"/>
        <w:b/>
        <w:lang w:val="it-IT"/>
      </w:rPr>
    </w:pPr>
    <w:r>
      <w:rPr>
        <w:rFonts w:ascii="Century Gothic" w:hAnsi="Century Gothic"/>
        <w:lang w:val="fr-FR"/>
      </w:rPr>
      <w:t xml:space="preserve"> </w:t>
    </w:r>
    <w:r>
      <w:rPr>
        <w:rFonts w:ascii="Century Gothic" w:hAnsi="Century Gothic"/>
        <w:lang w:val="fr-FR"/>
      </w:rPr>
      <w:tab/>
    </w:r>
    <w:r>
      <w:rPr>
        <w:rFonts w:ascii="Century Gothic" w:hAnsi="Century Gothic"/>
        <w:lang w:val="fr-FR"/>
      </w:rPr>
      <w:tab/>
    </w:r>
    <w:r>
      <w:rPr>
        <w:rFonts w:ascii="Century Gothic" w:hAnsi="Century Gothic"/>
        <w:b/>
        <w:lang w:val="it-IT"/>
      </w:rPr>
      <w:t>Accademia Svizzera di Medicina Psicosomatica e Psicosociale ASMPP</w:t>
    </w:r>
  </w:p>
  <w:p w:rsidR="00000000" w:rsidRDefault="00427362">
    <w:pPr>
      <w:pStyle w:val="Kopfzeile"/>
      <w:tabs>
        <w:tab w:val="clear" w:pos="4536"/>
        <w:tab w:val="right" w:pos="8080"/>
      </w:tabs>
      <w:ind w:hanging="426"/>
      <w:rPr>
        <w:rFonts w:ascii="Century Gothic" w:hAnsi="Century Gothic"/>
        <w:lang w:val="it-IT"/>
      </w:rPr>
    </w:pPr>
    <w:r>
      <w:rPr>
        <w:rFonts w:ascii="Century Gothic" w:hAnsi="Century Gothic"/>
        <w:lang w:val="it-IT"/>
      </w:rPr>
      <w:tab/>
    </w:r>
    <w:r>
      <w:rPr>
        <w:rFonts w:ascii="Century Gothic" w:hAnsi="Century Gothic"/>
        <w:lang w:val="it-IT"/>
      </w:rPr>
      <w:tab/>
    </w:r>
    <w:r>
      <w:rPr>
        <w:rFonts w:ascii="Century Gothic" w:hAnsi="Century Gothic"/>
        <w:lang w:val="en-US"/>
      </w:rPr>
      <w:t>Swiss Academy for Psychosomatic and Psychosocial Medicine</w:t>
    </w:r>
    <w:r>
      <w:rPr>
        <w:rFonts w:ascii="Century Gothic" w:hAnsi="Century Gothic"/>
        <w:lang w:val="it-IT"/>
      </w:rPr>
      <w:t xml:space="preserve"> SAPPM</w:t>
    </w:r>
    <w:r>
      <w:rPr>
        <w:rFonts w:ascii="Century Gothic" w:hAnsi="Century Gothic"/>
        <w:lang w:val="it-IT"/>
      </w:rPr>
      <w:tab/>
    </w:r>
  </w:p>
  <w:p w:rsidR="00000000" w:rsidRDefault="00427362">
    <w:pPr>
      <w:pStyle w:val="Kopfzeile"/>
      <w:tabs>
        <w:tab w:val="clear" w:pos="4536"/>
        <w:tab w:val="clear" w:pos="9072"/>
        <w:tab w:val="right" w:pos="8080"/>
      </w:tabs>
      <w:ind w:hanging="426"/>
      <w:rPr>
        <w:rFonts w:ascii="Century Gothic" w:hAnsi="Century Gothic"/>
      </w:rPr>
    </w:pPr>
    <w:r w:rsidRPr="00427362">
      <w:rPr>
        <w:rFonts w:ascii="Century Gothic" w:hAnsi="Century Gothic"/>
        <w:lang w:val="fr-CH"/>
      </w:rPr>
      <w:tab/>
    </w:r>
    <w:r w:rsidRPr="00427362">
      <w:rPr>
        <w:rFonts w:ascii="Century Gothic" w:hAnsi="Century Gothic"/>
        <w:lang w:val="fr-CH"/>
      </w:rPr>
      <w:tab/>
    </w:r>
    <w:r>
      <w:rPr>
        <w:rFonts w:ascii="Century Gothic" w:hAnsi="Century Gothic"/>
      </w:rPr>
      <w:t xml:space="preserve">Postfach 521, 6260 </w:t>
    </w:r>
    <w:proofErr w:type="spellStart"/>
    <w:r>
      <w:rPr>
        <w:rFonts w:ascii="Century Gothic" w:hAnsi="Century Gothic"/>
      </w:rPr>
      <w:t>Reiden</w:t>
    </w:r>
    <w:proofErr w:type="spellEnd"/>
    <w:r>
      <w:rPr>
        <w:rFonts w:ascii="Century Gothic" w:hAnsi="Century Gothic"/>
      </w:rPr>
      <w:t xml:space="preserve">, </w:t>
    </w:r>
    <w:r>
      <w:rPr>
        <w:rFonts w:ascii="Century Gothic" w:hAnsi="Century Gothic"/>
      </w:rPr>
      <w:t>www.sappm.ch</w:t>
    </w:r>
  </w:p>
  <w:p w:rsidR="00000000" w:rsidRDefault="00427362">
    <w:pPr>
      <w:pStyle w:val="Kopfzeile"/>
      <w:tabs>
        <w:tab w:val="clear" w:pos="4536"/>
        <w:tab w:val="right" w:pos="7371"/>
        <w:tab w:val="right" w:pos="8080"/>
      </w:tabs>
      <w:ind w:hanging="426"/>
      <w:rPr>
        <w:rFonts w:ascii="Century Gothic" w:hAnsi="Century Gothic"/>
      </w:rPr>
    </w:pPr>
  </w:p>
  <w:p w:rsidR="00000000" w:rsidRDefault="00427362">
    <w:pPr>
      <w:pStyle w:val="Kopfzeile"/>
      <w:tabs>
        <w:tab w:val="clear" w:pos="4536"/>
        <w:tab w:val="right" w:pos="7655"/>
        <w:tab w:val="right" w:pos="8080"/>
      </w:tabs>
      <w:rPr>
        <w:rFonts w:ascii="Century Gothic" w:hAnsi="Century Gothic"/>
        <w:sz w:val="22"/>
      </w:rPr>
    </w:pPr>
  </w:p>
  <w:p w:rsidR="00000000" w:rsidRDefault="00427362">
    <w:pPr>
      <w:pStyle w:val="Kopfzeile"/>
      <w:tabs>
        <w:tab w:val="clear" w:pos="4536"/>
        <w:tab w:val="right" w:pos="7655"/>
        <w:tab w:val="right" w:pos="8080"/>
      </w:tabs>
      <w:rPr>
        <w:rFonts w:ascii="Century Gothic" w:hAnsi="Century Gothic"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StyleNum"/>
    <w:lvl w:ilvl="0"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011"/>
    <w:rsid w:val="00427362"/>
    <w:rsid w:val="00E2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."/>
  <w:listSeparator w:val=";"/>
  <w14:docId w14:val="3EABA4ED"/>
  <w15:chartTrackingRefBased/>
  <w15:docId w15:val="{0C8C8D91-3B65-4122-9E56-517AA2CC6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/>
      <w:outlineLvl w:val="0"/>
    </w:pPr>
    <w:rPr>
      <w:rFonts w:ascii="Arial Black" w:hAnsi="Arial Black"/>
      <w:b/>
      <w:kern w:val="1"/>
      <w:sz w:val="3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outlineLvl w:val="1"/>
    </w:pPr>
    <w:rPr>
      <w:rFonts w:ascii="Arial Rounded MT Bold" w:hAnsi="Arial Rounded MT Bold"/>
      <w:b/>
      <w:sz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60"/>
      <w:outlineLvl w:val="2"/>
    </w:pPr>
    <w:rPr>
      <w:b/>
      <w:lang w:val="de-DE"/>
    </w:rPr>
  </w:style>
  <w:style w:type="character" w:default="1" w:styleId="Absatz-Standardschriftart">
    <w:name w:val="Default Paragraph Font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7z0">
    <w:name w:val="WW8Num7z0"/>
    <w:rPr>
      <w:sz w:val="24"/>
    </w:rPr>
  </w:style>
  <w:style w:type="character" w:customStyle="1" w:styleId="WW8Num7z1">
    <w:name w:val="WW8Num7z1"/>
    <w:rPr>
      <w:rFonts w:ascii="Times New Roman" w:eastAsia="Times New Roman" w:hAnsi="Times New Roman" w:cs="Times New Roman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Absatz-Standardschriftart1">
    <w:name w:val="Absatz-Standardschriftart1"/>
  </w:style>
  <w:style w:type="character" w:styleId="Hyperlink">
    <w:name w:val="Hyperlink"/>
    <w:basedOn w:val="Absatz-Standardschriftart1"/>
    <w:rPr>
      <w:color w:val="0000FF"/>
      <w:u w:val="single"/>
    </w:rPr>
  </w:style>
  <w:style w:type="character" w:customStyle="1" w:styleId="Endnotenzeichen1">
    <w:name w:val="Endnotenzeichen1"/>
    <w:basedOn w:val="Absatz-Standardschriftart1"/>
    <w:rPr>
      <w:vertAlign w:val="superscript"/>
    </w:rPr>
  </w:style>
  <w:style w:type="character" w:styleId="Seitenzahl">
    <w:name w:val="page number"/>
    <w:basedOn w:val="Absatz-Standardschriftart1"/>
  </w:style>
  <w:style w:type="character" w:styleId="BesuchterHyperlink">
    <w:name w:val="FollowedHyperlink"/>
    <w:basedOn w:val="Absatz-Standardschriftart1"/>
    <w:rPr>
      <w:color w:val="800080"/>
      <w:u w:val="single"/>
    </w:rPr>
  </w:style>
  <w:style w:type="character" w:styleId="Hervorhebung">
    <w:name w:val="Emphasis"/>
    <w:basedOn w:val="Absatz-Standardschriftart1"/>
    <w:qFormat/>
    <w:rPr>
      <w:i/>
      <w:iCs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Verdana" w:eastAsia="SimSun" w:hAnsi="Verdana" w:cs="Mangal"/>
      <w:sz w:val="28"/>
      <w:szCs w:val="28"/>
    </w:rPr>
  </w:style>
  <w:style w:type="paragraph" w:styleId="Textkrper">
    <w:name w:val="Body Text"/>
    <w:basedOn w:val="Standard"/>
    <w:rPr>
      <w:rFonts w:cs="Arial"/>
      <w:b/>
      <w:bCs/>
      <w:sz w:val="24"/>
      <w:szCs w:val="24"/>
    </w:rPr>
  </w:style>
  <w:style w:type="paragraph" w:styleId="Liste">
    <w:name w:val="List"/>
    <w:basedOn w:val="Textkrper"/>
    <w:rPr>
      <w:rFonts w:ascii="Verdana" w:hAnsi="Verdana"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ascii="Verdana" w:hAnsi="Verdana" w:cs="Mang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ascii="Verdana" w:hAnsi="Verdana" w:cs="Mangal"/>
    </w:rPr>
  </w:style>
  <w:style w:type="paragraph" w:customStyle="1" w:styleId="Overhead">
    <w:name w:val="Overhead"/>
    <w:basedOn w:val="Standard"/>
    <w:pPr>
      <w:numPr>
        <w:numId w:val="2"/>
      </w:numPr>
      <w:tabs>
        <w:tab w:val="left" w:pos="360"/>
      </w:tabs>
      <w:ind w:left="360" w:hanging="360"/>
    </w:pPr>
    <w:rPr>
      <w:rFonts w:ascii="Arial Black" w:hAnsi="Arial Black"/>
      <w:sz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Endnotentext">
    <w:name w:val="endnote text"/>
    <w:basedOn w:val="Standard"/>
  </w:style>
  <w:style w:type="paragraph" w:customStyle="1" w:styleId="BodyText2">
    <w:name w:val="Body Text 2"/>
    <w:basedOn w:val="Standard"/>
    <w:pPr>
      <w:spacing w:before="240" w:line="480" w:lineRule="auto"/>
    </w:pPr>
    <w:rPr>
      <w:sz w:val="24"/>
    </w:rPr>
  </w:style>
  <w:style w:type="paragraph" w:customStyle="1" w:styleId="Textkrper21">
    <w:name w:val="Textkörper 21"/>
    <w:basedOn w:val="Standard"/>
    <w:pPr>
      <w:jc w:val="both"/>
    </w:pPr>
    <w:rPr>
      <w:rFonts w:ascii="Frutiger" w:hAnsi="Frutiger"/>
      <w:sz w:val="22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Rahmeninhalt">
    <w:name w:val="Rahmeninhalt"/>
    <w:basedOn w:val="Textkrp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Antragsformular ABS</vt:lpstr>
    </vt:vector>
  </TitlesOfParts>
  <Company/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Antragsformular ABS</dc:title>
  <dc:subject/>
  <dc:creator>Pierre Loeb</dc:creator>
  <cp:keywords/>
  <cp:lastModifiedBy>Astrid Roos-Maeder</cp:lastModifiedBy>
  <cp:revision>3</cp:revision>
  <cp:lastPrinted>2008-01-15T08:05:00Z</cp:lastPrinted>
  <dcterms:created xsi:type="dcterms:W3CDTF">2014-09-22T13:34:00Z</dcterms:created>
  <dcterms:modified xsi:type="dcterms:W3CDTF">2014-09-22T13:34:00Z</dcterms:modified>
</cp:coreProperties>
</file>